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DA2349" w:rsidRDefault="00F92268" w:rsidP="00850792">
      <w:pPr>
        <w:pStyle w:val="BodyText"/>
        <w:rPr>
          <w:sz w:val="6"/>
          <w:szCs w:val="6"/>
        </w:rPr>
      </w:pPr>
      <w:r w:rsidRPr="00DA2349">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DA2349"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DA2349" w:rsidRDefault="00F92268" w:rsidP="00F246C7">
            <w:pPr>
              <w:pStyle w:val="RefTableData"/>
            </w:pPr>
            <w:r w:rsidRPr="00DA2349">
              <w:t>Reference number(s)</w:t>
            </w:r>
          </w:p>
        </w:tc>
      </w:tr>
      <w:tr w:rsidR="00F92268" w:rsidRPr="00DA2349"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74F17B91" w:rsidR="00F92268" w:rsidRPr="00DA2349" w:rsidRDefault="009415DF" w:rsidP="00F246C7">
            <w:pPr>
              <w:pStyle w:val="RefTableHeader"/>
            </w:pPr>
            <w:r w:rsidRPr="00DA2349">
              <w:t>3469-A</w:t>
            </w:r>
          </w:p>
        </w:tc>
      </w:tr>
    </w:tbl>
    <w:p w14:paraId="74FBA5B4" w14:textId="77777777" w:rsidR="00051356" w:rsidRPr="00DA2349" w:rsidRDefault="00051356" w:rsidP="00A672B3">
      <w:pPr>
        <w:pStyle w:val="BodyText"/>
        <w:rPr>
          <w:b/>
          <w:bCs/>
          <w:sz w:val="16"/>
          <w:szCs w:val="16"/>
        </w:rPr>
        <w:sectPr w:rsidR="00051356" w:rsidRPr="00DA2349" w:rsidSect="00051356">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5E24E90D" w:rsidR="004B15BB" w:rsidRPr="00DA2349" w:rsidRDefault="009415DF" w:rsidP="007E5C16">
      <w:pPr>
        <w:pStyle w:val="Heading1"/>
      </w:pPr>
      <w:r w:rsidRPr="00DA2349">
        <w:t>Specialty Guideline Management</w:t>
      </w:r>
      <w:r w:rsidR="008C54D9" w:rsidRPr="00DA2349">
        <w:br/>
      </w:r>
      <w:r w:rsidRPr="00DA2349">
        <w:t>Padcev</w:t>
      </w:r>
    </w:p>
    <w:p w14:paraId="78861C92" w14:textId="62D9B612" w:rsidR="00203468" w:rsidRPr="00DA2349" w:rsidRDefault="00C64534" w:rsidP="008E0F0D">
      <w:pPr>
        <w:pStyle w:val="Heading2"/>
      </w:pPr>
      <w:r w:rsidRPr="00DA2349">
        <w:t xml:space="preserve">Products Referenced by this </w:t>
      </w:r>
      <w:r w:rsidR="00501602" w:rsidRPr="00DA2349">
        <w:t>Document</w:t>
      </w:r>
    </w:p>
    <w:p w14:paraId="5455152B" w14:textId="6C1F993D" w:rsidR="008E0F0D" w:rsidRPr="00DA2349" w:rsidRDefault="00D82D85" w:rsidP="008B73E8">
      <w:pPr>
        <w:pStyle w:val="BodyText"/>
      </w:pPr>
      <w:r w:rsidRPr="00DA2349">
        <w:t xml:space="preserve">Drugs that are listed in the </w:t>
      </w:r>
      <w:r w:rsidR="000315F1" w:rsidRPr="00DA2349">
        <w:t>following table</w:t>
      </w:r>
      <w:r w:rsidRPr="00DA2349">
        <w:t xml:space="preserve"> include both brand and generic and all dosage forms and strengths unless otherwise stated. </w:t>
      </w:r>
      <w:proofErr w:type="gramStart"/>
      <w:r w:rsidR="00043585">
        <w:rPr>
          <w:rStyle w:val="ui-provider"/>
        </w:rPr>
        <w:t>Over-the-counter</w:t>
      </w:r>
      <w:proofErr w:type="gramEnd"/>
      <w:r w:rsidR="00043585">
        <w:rPr>
          <w:rStyle w:val="ui-provider"/>
        </w:rPr>
        <w:t xml:space="preserve"> (OTC)</w:t>
      </w:r>
      <w:r w:rsidRPr="00DA2349">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5B4D7C" w:rsidRPr="00DA2349" w14:paraId="057AAA89" w14:textId="77777777">
        <w:trPr>
          <w:cantSplit/>
          <w:trHeight w:val="288"/>
          <w:tblHeader/>
        </w:trPr>
        <w:tc>
          <w:tcPr>
            <w:tcW w:w="5265" w:type="dxa"/>
            <w:vAlign w:val="center"/>
          </w:tcPr>
          <w:p w14:paraId="6CBFE1BD" w14:textId="77777777" w:rsidR="005B4D7C" w:rsidRPr="00DA2349" w:rsidRDefault="005B4D7C">
            <w:pPr>
              <w:pStyle w:val="TableHeader"/>
            </w:pPr>
            <w:r w:rsidRPr="00DA2349">
              <w:t>Brand Name</w:t>
            </w:r>
          </w:p>
        </w:tc>
        <w:tc>
          <w:tcPr>
            <w:tcW w:w="5595" w:type="dxa"/>
            <w:vAlign w:val="center"/>
          </w:tcPr>
          <w:p w14:paraId="18440B85" w14:textId="77777777" w:rsidR="005B4D7C" w:rsidRPr="00DA2349" w:rsidRDefault="005B4D7C">
            <w:pPr>
              <w:pStyle w:val="TableHeader"/>
            </w:pPr>
            <w:r w:rsidRPr="00DA2349">
              <w:t>Generic Name</w:t>
            </w:r>
          </w:p>
        </w:tc>
      </w:tr>
      <w:tr w:rsidR="005B4D7C" w:rsidRPr="00DA2349" w14:paraId="7742B1EC" w14:textId="77777777">
        <w:trPr>
          <w:cantSplit/>
        </w:trPr>
        <w:tc>
          <w:tcPr>
            <w:tcW w:w="5265" w:type="dxa"/>
          </w:tcPr>
          <w:p w14:paraId="4DED0C9B" w14:textId="6FFA1A6D" w:rsidR="005B4D7C" w:rsidRPr="00DA2349" w:rsidRDefault="009415DF">
            <w:pPr>
              <w:pStyle w:val="TableDataUnpadded"/>
            </w:pPr>
            <w:r w:rsidRPr="00DA2349">
              <w:t>Padcev</w:t>
            </w:r>
          </w:p>
        </w:tc>
        <w:tc>
          <w:tcPr>
            <w:tcW w:w="5595" w:type="dxa"/>
          </w:tcPr>
          <w:p w14:paraId="1A09710D" w14:textId="1F6E2663" w:rsidR="005B4D7C" w:rsidRPr="00DA2349" w:rsidRDefault="009415DF">
            <w:pPr>
              <w:pStyle w:val="TableDataUnpadded"/>
            </w:pPr>
            <w:r w:rsidRPr="00DA2349">
              <w:t>enfortumab vedotin-ejfv</w:t>
            </w:r>
          </w:p>
        </w:tc>
      </w:tr>
    </w:tbl>
    <w:p w14:paraId="14CE6108" w14:textId="2A9E7381" w:rsidR="00FC1AAD" w:rsidRPr="00DA2349" w:rsidRDefault="00ED052F" w:rsidP="00AA2A94">
      <w:pPr>
        <w:pStyle w:val="Heading2"/>
        <w:tabs>
          <w:tab w:val="left" w:pos="9540"/>
        </w:tabs>
      </w:pPr>
      <w:r w:rsidRPr="00DA2349">
        <w:t>Indications</w:t>
      </w:r>
    </w:p>
    <w:p w14:paraId="6551C851" w14:textId="77777777" w:rsidR="00CE2BD5" w:rsidRPr="00DA2349" w:rsidRDefault="00CE2BD5" w:rsidP="00CE2BD5">
      <w:pPr>
        <w:pStyle w:val="BodyText"/>
      </w:pPr>
      <w:r w:rsidRPr="00DA2349">
        <w:t>The indications below including FDA-approved indications and compendial uses are considered a covered benefit provided that all the approval criteria are met and the member has no exclusions to the prescribed therapy.</w:t>
      </w:r>
    </w:p>
    <w:p w14:paraId="515453D2" w14:textId="1E613E55" w:rsidR="00CE2BD5" w:rsidRPr="00DA2349" w:rsidRDefault="00CE2BD5" w:rsidP="00CE2BD5">
      <w:pPr>
        <w:pStyle w:val="Heading3"/>
      </w:pPr>
      <w:r w:rsidRPr="00DA2349">
        <w:t>FDA-approved Indications</w:t>
      </w:r>
      <w:r w:rsidRPr="00CE1544">
        <w:rPr>
          <w:vertAlign w:val="superscript"/>
        </w:rPr>
        <w:t>1</w:t>
      </w:r>
    </w:p>
    <w:p w14:paraId="2B207096" w14:textId="490D8604" w:rsidR="00CE2BD5" w:rsidRPr="00DA2349" w:rsidRDefault="00CE2BD5" w:rsidP="00CE2BD5">
      <w:pPr>
        <w:pStyle w:val="ListParagraph"/>
      </w:pPr>
      <w:r w:rsidRPr="00DA2349">
        <w:t>Padcev (enfortumab vedotin-ejfv), as a single agent, is indicated for the treatment of adult patients with locally advanced or metastatic urothelial cancer who have previously received a programmed death receptor-1 (PD-1) or programmed death-ligand 1 (PD-L1) inhibitor, and a platinum-containing chemotherapy or are ineligible for cisplatin-containing chemotherapy and have previously received one or more prior lines of therapy.</w:t>
      </w:r>
    </w:p>
    <w:p w14:paraId="168C0768" w14:textId="26DB2FAE" w:rsidR="00CE2BD5" w:rsidRPr="00DA2349" w:rsidRDefault="00CE2BD5" w:rsidP="00CE2BD5">
      <w:pPr>
        <w:pStyle w:val="ListParagraph"/>
      </w:pPr>
      <w:bookmarkStart w:id="0" w:name="OLE_LINK28"/>
      <w:r w:rsidRPr="00DA2349">
        <w:t xml:space="preserve">Padcev, </w:t>
      </w:r>
      <w:bookmarkStart w:id="1" w:name="OLE_LINK29"/>
      <w:r w:rsidRPr="00DA2349">
        <w:t>in combination with pembrolizumab, is indicated for the treatment of adult patients with locally advanced or metastatic urothelial cancer (</w:t>
      </w:r>
      <w:proofErr w:type="spellStart"/>
      <w:r w:rsidRPr="00DA2349">
        <w:t>mUC</w:t>
      </w:r>
      <w:proofErr w:type="spellEnd"/>
      <w:r w:rsidRPr="00DA2349">
        <w:t>).</w:t>
      </w:r>
    </w:p>
    <w:bookmarkEnd w:id="0"/>
    <w:bookmarkEnd w:id="1"/>
    <w:p w14:paraId="76A8AA20" w14:textId="77777777" w:rsidR="00CE2BD5" w:rsidRPr="00DA2349" w:rsidRDefault="00CE2BD5" w:rsidP="00CE2BD5">
      <w:pPr>
        <w:pStyle w:val="Heading3"/>
      </w:pPr>
      <w:r w:rsidRPr="00DA2349">
        <w:t>Compendial Uses</w:t>
      </w:r>
      <w:r w:rsidRPr="00DA2349">
        <w:rPr>
          <w:vertAlign w:val="superscript"/>
        </w:rPr>
        <w:t>2</w:t>
      </w:r>
    </w:p>
    <w:p w14:paraId="3F939193" w14:textId="77777777" w:rsidR="00CE2BD5" w:rsidRPr="00DA2349" w:rsidRDefault="00CE2BD5" w:rsidP="007C76C2">
      <w:pPr>
        <w:pStyle w:val="Heading4"/>
      </w:pPr>
      <w:r w:rsidRPr="00DA2349">
        <w:t>Urothelial carcinoma</w:t>
      </w:r>
    </w:p>
    <w:p w14:paraId="1B44894C" w14:textId="77777777" w:rsidR="00CE2BD5" w:rsidRPr="00DA2349" w:rsidRDefault="00CE2BD5" w:rsidP="002B371A">
      <w:pPr>
        <w:pStyle w:val="ListParagraph"/>
        <w:numPr>
          <w:ilvl w:val="0"/>
          <w:numId w:val="37"/>
        </w:numPr>
      </w:pPr>
      <w:r w:rsidRPr="00DA2349">
        <w:t>Bladder cancer</w:t>
      </w:r>
    </w:p>
    <w:p w14:paraId="2F53FABB" w14:textId="77777777" w:rsidR="00CE2BD5" w:rsidRPr="00DA2349" w:rsidRDefault="00CE2BD5" w:rsidP="002B371A">
      <w:pPr>
        <w:pStyle w:val="ListParagraph"/>
        <w:numPr>
          <w:ilvl w:val="0"/>
          <w:numId w:val="37"/>
        </w:numPr>
      </w:pPr>
      <w:r w:rsidRPr="00DA2349">
        <w:t>Primary carcinoma of the urethra</w:t>
      </w:r>
    </w:p>
    <w:p w14:paraId="43C6B4C5" w14:textId="77777777" w:rsidR="00CE2BD5" w:rsidRPr="00DA2349" w:rsidRDefault="00CE2BD5" w:rsidP="002B371A">
      <w:pPr>
        <w:pStyle w:val="ListParagraph"/>
        <w:numPr>
          <w:ilvl w:val="0"/>
          <w:numId w:val="37"/>
        </w:numPr>
      </w:pPr>
      <w:r w:rsidRPr="00DA2349">
        <w:lastRenderedPageBreak/>
        <w:t>Upper genitourinary (GU) tract tumors</w:t>
      </w:r>
    </w:p>
    <w:p w14:paraId="3911C56E" w14:textId="77777777" w:rsidR="00CE2BD5" w:rsidRPr="00DA2349" w:rsidRDefault="00CE2BD5" w:rsidP="002B371A">
      <w:pPr>
        <w:pStyle w:val="ListParagraph"/>
        <w:numPr>
          <w:ilvl w:val="0"/>
          <w:numId w:val="37"/>
        </w:numPr>
      </w:pPr>
      <w:r w:rsidRPr="00DA2349">
        <w:t>Urothelial carcinoma of the prostate</w:t>
      </w:r>
    </w:p>
    <w:p w14:paraId="360FEC94" w14:textId="77777777" w:rsidR="00CE2BD5" w:rsidRPr="00DA2349" w:rsidRDefault="00CE2BD5" w:rsidP="00CE2BD5">
      <w:pPr>
        <w:pStyle w:val="BodyText"/>
      </w:pPr>
      <w:r w:rsidRPr="00DA2349">
        <w:t>All other indications are considered experimental/investigational and not medically necessary.</w:t>
      </w:r>
    </w:p>
    <w:p w14:paraId="19C74AC3" w14:textId="068376D2" w:rsidR="00CE2BD5" w:rsidRPr="00DA2349" w:rsidRDefault="00CE2BD5" w:rsidP="00CE2BD5">
      <w:pPr>
        <w:pStyle w:val="Heading2"/>
      </w:pPr>
      <w:r w:rsidRPr="00DA2349">
        <w:t>Coverage Criteria</w:t>
      </w:r>
    </w:p>
    <w:p w14:paraId="4A5C69BB" w14:textId="77777777" w:rsidR="00CE2BD5" w:rsidRPr="00DA2349" w:rsidRDefault="00CE2BD5" w:rsidP="00CE2BD5">
      <w:pPr>
        <w:pStyle w:val="Heading3"/>
        <w:rPr>
          <w:vertAlign w:val="superscript"/>
        </w:rPr>
      </w:pPr>
      <w:bookmarkStart w:id="2" w:name="OLE_LINK34"/>
      <w:r w:rsidRPr="00DA2349">
        <w:t>Urothelial Carcinoma</w:t>
      </w:r>
      <w:r w:rsidRPr="00DA2349">
        <w:rPr>
          <w:vertAlign w:val="superscript"/>
        </w:rPr>
        <w:t>1,2</w:t>
      </w:r>
    </w:p>
    <w:p w14:paraId="7EC35F7E" w14:textId="77777777" w:rsidR="00CE2BD5" w:rsidRPr="00DA2349" w:rsidRDefault="00CE2BD5" w:rsidP="00CE2BD5">
      <w:pPr>
        <w:pStyle w:val="BodyText"/>
      </w:pPr>
      <w:bookmarkStart w:id="3" w:name="OLE_LINK41"/>
      <w:r w:rsidRPr="00DA2349">
        <w:t>Authorization of 12 months may be granted for treatment of urothelial carcinoma as a single agent when used as subsequent therapy following platinum-containing chemotherapy and prior treatment with a programmed death receptor-1 (PD-1) or programmed death-ligand 1 (PD-L1) inhibitor or when used as subsequent therapy for members who are ineligible for cisplatin-containing chemotherapy for any of the following subtypes:</w:t>
      </w:r>
    </w:p>
    <w:p w14:paraId="28336308" w14:textId="77777777" w:rsidR="00CE2BD5" w:rsidRPr="00DA2349" w:rsidRDefault="00CE2BD5" w:rsidP="002B371A">
      <w:pPr>
        <w:pStyle w:val="ListParagraph"/>
        <w:numPr>
          <w:ilvl w:val="0"/>
          <w:numId w:val="37"/>
        </w:numPr>
      </w:pPr>
      <w:bookmarkStart w:id="4" w:name="OLE_LINK42"/>
      <w:bookmarkStart w:id="5" w:name="OLE_LINK1"/>
      <w:bookmarkEnd w:id="3"/>
      <w:r w:rsidRPr="00DA2349">
        <w:t>Urothelial carcinoma of the bladder in any of the following settings:</w:t>
      </w:r>
    </w:p>
    <w:p w14:paraId="566ADFEE" w14:textId="77777777" w:rsidR="00CE2BD5" w:rsidRPr="00DA2349" w:rsidRDefault="00CE2BD5" w:rsidP="002B371A">
      <w:pPr>
        <w:pStyle w:val="ListParagraph"/>
        <w:numPr>
          <w:ilvl w:val="1"/>
          <w:numId w:val="37"/>
        </w:numPr>
      </w:pPr>
      <w:r w:rsidRPr="00DA2349">
        <w:t>Stage II, locally advanced or metastatic disease</w:t>
      </w:r>
    </w:p>
    <w:p w14:paraId="5D1D85E0" w14:textId="77777777" w:rsidR="00CE2BD5" w:rsidRPr="00DA2349" w:rsidRDefault="00CE2BD5" w:rsidP="002B371A">
      <w:pPr>
        <w:pStyle w:val="ListParagraph"/>
        <w:numPr>
          <w:ilvl w:val="1"/>
          <w:numId w:val="37"/>
        </w:numPr>
      </w:pPr>
      <w:r w:rsidRPr="00DA2349">
        <w:t>Metastatic or local recurrence post-cystectomy</w:t>
      </w:r>
    </w:p>
    <w:p w14:paraId="50A5C91A" w14:textId="77777777" w:rsidR="00CE2BD5" w:rsidRPr="00DA2349" w:rsidRDefault="00CE2BD5" w:rsidP="002B371A">
      <w:pPr>
        <w:pStyle w:val="ListParagraph"/>
        <w:numPr>
          <w:ilvl w:val="1"/>
          <w:numId w:val="37"/>
        </w:numPr>
      </w:pPr>
      <w:r w:rsidRPr="00DA2349">
        <w:t>Muscle invasive local recurrence or persistent disease in a preserved bladder</w:t>
      </w:r>
    </w:p>
    <w:p w14:paraId="0320C56A" w14:textId="77777777" w:rsidR="00CE2BD5" w:rsidRPr="00DA2349" w:rsidRDefault="00CE2BD5" w:rsidP="002B371A">
      <w:pPr>
        <w:pStyle w:val="ListParagraph"/>
        <w:numPr>
          <w:ilvl w:val="0"/>
          <w:numId w:val="37"/>
        </w:numPr>
      </w:pPr>
      <w:bookmarkStart w:id="6" w:name="OLE_LINK43"/>
      <w:bookmarkEnd w:id="4"/>
      <w:r w:rsidRPr="00DA2349">
        <w:t>Primary carcinoma of the urethra with locally advanced, recurrent or metastatic disease.</w:t>
      </w:r>
    </w:p>
    <w:p w14:paraId="1B421441" w14:textId="77777777" w:rsidR="00CE2BD5" w:rsidRPr="00DA2349" w:rsidRDefault="00CE2BD5" w:rsidP="002B371A">
      <w:pPr>
        <w:pStyle w:val="ListParagraph"/>
        <w:numPr>
          <w:ilvl w:val="0"/>
          <w:numId w:val="37"/>
        </w:numPr>
      </w:pPr>
      <w:r w:rsidRPr="00DA2349">
        <w:t>Urothelial carcinoma of the upper genitourinary tract or urothelial carcinoma of the prostate with locally advanced or metastatic disease</w:t>
      </w:r>
      <w:bookmarkEnd w:id="5"/>
      <w:r w:rsidRPr="00DA2349">
        <w:t xml:space="preserve">. </w:t>
      </w:r>
    </w:p>
    <w:p w14:paraId="64CDE312" w14:textId="77777777" w:rsidR="00CE2BD5" w:rsidRPr="00DA2349" w:rsidRDefault="00CE2BD5" w:rsidP="00CE2BD5">
      <w:pPr>
        <w:pStyle w:val="BodyText"/>
      </w:pPr>
      <w:bookmarkStart w:id="7" w:name="OLE_LINK44"/>
      <w:bookmarkEnd w:id="6"/>
      <w:r w:rsidRPr="00DA2349">
        <w:t>Authorization of 12 months may be granted for first-line treatment of urothelial carcinoma in combination with pembrolizumab for any of the following subtypes:</w:t>
      </w:r>
    </w:p>
    <w:p w14:paraId="498D0421" w14:textId="77777777" w:rsidR="00CE2BD5" w:rsidRPr="00DA2349" w:rsidRDefault="00CE2BD5" w:rsidP="002B371A">
      <w:pPr>
        <w:pStyle w:val="ListParagraph"/>
        <w:numPr>
          <w:ilvl w:val="0"/>
          <w:numId w:val="36"/>
        </w:numPr>
      </w:pPr>
      <w:r w:rsidRPr="00DA2349">
        <w:t>Urothelial carcinoma of the bladder in any of the following settings:</w:t>
      </w:r>
    </w:p>
    <w:p w14:paraId="41E4309E" w14:textId="77777777" w:rsidR="00CE2BD5" w:rsidRPr="00DA2349" w:rsidRDefault="00CE2BD5" w:rsidP="002B371A">
      <w:pPr>
        <w:pStyle w:val="ListParagraph"/>
        <w:numPr>
          <w:ilvl w:val="1"/>
          <w:numId w:val="36"/>
        </w:numPr>
      </w:pPr>
      <w:r w:rsidRPr="00DA2349">
        <w:t>Stage II, locally advanced or metastatic disease</w:t>
      </w:r>
    </w:p>
    <w:p w14:paraId="6A29F3F0" w14:textId="77777777" w:rsidR="00CE2BD5" w:rsidRPr="00DA2349" w:rsidRDefault="00CE2BD5" w:rsidP="002B371A">
      <w:pPr>
        <w:pStyle w:val="ListParagraph"/>
        <w:numPr>
          <w:ilvl w:val="1"/>
          <w:numId w:val="36"/>
        </w:numPr>
      </w:pPr>
      <w:r w:rsidRPr="00DA2349">
        <w:t>Metastatic or local recurrence post-cystectomy</w:t>
      </w:r>
    </w:p>
    <w:p w14:paraId="66803685" w14:textId="77777777" w:rsidR="00CE2BD5" w:rsidRPr="00DA2349" w:rsidRDefault="00CE2BD5" w:rsidP="002B371A">
      <w:pPr>
        <w:pStyle w:val="ListParagraph"/>
        <w:numPr>
          <w:ilvl w:val="1"/>
          <w:numId w:val="36"/>
        </w:numPr>
      </w:pPr>
      <w:r w:rsidRPr="00DA2349">
        <w:t>Muscle invasive local recurrence or persistent disease in a preserved bladder</w:t>
      </w:r>
    </w:p>
    <w:p w14:paraId="5FB88194" w14:textId="77777777" w:rsidR="00CE2BD5" w:rsidRPr="00DA2349" w:rsidRDefault="00CE2BD5" w:rsidP="002B371A">
      <w:pPr>
        <w:pStyle w:val="ListParagraph"/>
        <w:numPr>
          <w:ilvl w:val="0"/>
          <w:numId w:val="36"/>
        </w:numPr>
      </w:pPr>
      <w:r w:rsidRPr="00DA2349">
        <w:t>Primary carcinoma of the urethra with locally advanced or metastatic disease.</w:t>
      </w:r>
    </w:p>
    <w:p w14:paraId="444FEEDF" w14:textId="77777777" w:rsidR="00CE2BD5" w:rsidRPr="00DA2349" w:rsidRDefault="00CE2BD5" w:rsidP="002B371A">
      <w:pPr>
        <w:pStyle w:val="ListParagraph"/>
        <w:numPr>
          <w:ilvl w:val="0"/>
          <w:numId w:val="36"/>
        </w:numPr>
      </w:pPr>
      <w:r w:rsidRPr="00DA2349">
        <w:t>Urothelial carcinoma of the upper genitourinary tract or urothelial carcinoma of the prostate with locally advanced or metastatic disease</w:t>
      </w:r>
    </w:p>
    <w:p w14:paraId="1223A27E" w14:textId="77777777" w:rsidR="005031D4" w:rsidRPr="00DA2349" w:rsidRDefault="005031D4" w:rsidP="002B371A">
      <w:pPr>
        <w:pStyle w:val="ListParagraph"/>
        <w:numPr>
          <w:ilvl w:val="0"/>
          <w:numId w:val="36"/>
        </w:numPr>
        <w:sectPr w:rsidR="005031D4" w:rsidRPr="00DA2349" w:rsidSect="00AA1E6A">
          <w:footerReference w:type="default" r:id="rId15"/>
          <w:type w:val="continuous"/>
          <w:pgSz w:w="12240" w:h="15840" w:code="1"/>
          <w:pgMar w:top="900" w:right="720" w:bottom="990" w:left="720" w:header="720" w:footer="807" w:gutter="0"/>
          <w:paperSrc w:first="15" w:other="15"/>
          <w:cols w:space="720"/>
          <w:titlePg/>
          <w:docGrid w:linePitch="272"/>
        </w:sectPr>
      </w:pPr>
    </w:p>
    <w:bookmarkEnd w:id="2"/>
    <w:bookmarkEnd w:id="7"/>
    <w:p w14:paraId="09EDB669" w14:textId="61CD5639" w:rsidR="00CE2BD5" w:rsidRPr="00DA2349" w:rsidRDefault="00CE2BD5" w:rsidP="00CE2BD5">
      <w:pPr>
        <w:pStyle w:val="Heading2"/>
      </w:pPr>
      <w:r w:rsidRPr="00DA2349">
        <w:t>Continuation of Therapy</w:t>
      </w:r>
    </w:p>
    <w:p w14:paraId="42483AAF" w14:textId="77777777" w:rsidR="00CE2BD5" w:rsidRPr="00DA2349" w:rsidRDefault="00CE2BD5" w:rsidP="00CE2BD5">
      <w:pPr>
        <w:pStyle w:val="BodyText"/>
      </w:pPr>
      <w:r w:rsidRPr="00DA2349">
        <w:t>Authorization of 12 months may be granted for continued treatment in members requesting reauthorization for an indication listed in the coverage criteria section when there is no evidence of unacceptable toxicity</w:t>
      </w:r>
      <w:r w:rsidRPr="00DA2349" w:rsidDel="00084B6A">
        <w:t xml:space="preserve"> </w:t>
      </w:r>
      <w:r w:rsidRPr="00DA2349">
        <w:t>or disease progression while on the current regimen.</w:t>
      </w:r>
    </w:p>
    <w:p w14:paraId="040CB61A" w14:textId="12E8A8E4" w:rsidR="00CE2BD5" w:rsidRPr="00DA2349" w:rsidRDefault="00CE2BD5" w:rsidP="00CE2BD5">
      <w:pPr>
        <w:pStyle w:val="Heading2"/>
      </w:pPr>
      <w:r w:rsidRPr="00DA2349">
        <w:lastRenderedPageBreak/>
        <w:t>References</w:t>
      </w:r>
    </w:p>
    <w:p w14:paraId="76B2B9B1" w14:textId="77777777" w:rsidR="00CE2BD5" w:rsidRPr="00DA2349" w:rsidRDefault="00CE2BD5" w:rsidP="00CE2BD5">
      <w:pPr>
        <w:pStyle w:val="ReferenceOrdered"/>
      </w:pPr>
      <w:r w:rsidRPr="00DA2349">
        <w:t>Padcev [package insert]. Northbrook, IL: Astellas Pharma US, Inc.; December 2024.</w:t>
      </w:r>
    </w:p>
    <w:p w14:paraId="47E1A10C" w14:textId="21B814AF" w:rsidR="00C44990" w:rsidRPr="00EA2DBE" w:rsidRDefault="00CE2BD5" w:rsidP="00EA2DBE">
      <w:pPr>
        <w:pStyle w:val="ReferenceOrdered"/>
      </w:pPr>
      <w:r w:rsidRPr="00DA2349">
        <w:t>The NCCN Drugs &amp; Biologics Compendium® © 2024 National Comprehensive Cancer Network, Inc. Available at: http://www.nccn.org. Accessed June 12, 2024.</w:t>
      </w:r>
    </w:p>
    <w:sectPr w:rsidR="00C44990" w:rsidRPr="00EA2DBE" w:rsidSect="00AA1E6A">
      <w:footerReference w:type="default" r:id="rId16"/>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9BF728" w14:textId="77777777" w:rsidR="00953A2C" w:rsidRDefault="00953A2C">
      <w:r>
        <w:separator/>
      </w:r>
    </w:p>
  </w:endnote>
  <w:endnote w:type="continuationSeparator" w:id="0">
    <w:p w14:paraId="1CB09FB8" w14:textId="77777777" w:rsidR="00953A2C" w:rsidRDefault="00953A2C">
      <w:r>
        <w:continuationSeparator/>
      </w:r>
    </w:p>
  </w:endnote>
  <w:endnote w:type="continuationNotice" w:id="1">
    <w:p w14:paraId="0114561E" w14:textId="77777777" w:rsidR="00953A2C" w:rsidRDefault="00953A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19FA3E10"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9415DF" w:rsidRPr="009415DF">
      <w:rPr>
        <w:rFonts w:cs="Arial"/>
        <w:noProof/>
        <w:sz w:val="16"/>
        <w:szCs w:val="16"/>
      </w:rPr>
      <w:t>Padcev</w:t>
    </w:r>
    <w:r w:rsidR="009415DF">
      <w:rPr>
        <w:rFonts w:cs="Arial"/>
        <w:noProof/>
        <w:snapToGrid w:val="0"/>
        <w:color w:val="000000"/>
        <w:sz w:val="16"/>
        <w:szCs w:val="16"/>
      </w:rPr>
      <w:t xml:space="preserve"> 3469-A SGM</w:t>
    </w:r>
    <w:r w:rsidR="009415DF" w:rsidRPr="009415DF">
      <w:rPr>
        <w:rFonts w:cs="Arial"/>
        <w:noProof/>
        <w:sz w:val="16"/>
        <w:szCs w:val="16"/>
      </w:rPr>
      <w:t xml:space="preserve"> 2024</w:t>
    </w:r>
    <w:r w:rsidR="009415DF">
      <w:rPr>
        <w:rFonts w:cs="Arial"/>
        <w:noProof/>
        <w:snapToGrid w:val="0"/>
        <w:color w:val="000000"/>
        <w:sz w:val="16"/>
        <w:szCs w:val="16"/>
      </w:rPr>
      <w:t>_1.docx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3C2E2BA2"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817D0B" w:rsidRPr="00EA2DBE">
      <w:rPr>
        <w:rFonts w:cs="Arial"/>
        <w:noProof/>
        <w:sz w:val="16"/>
        <w:szCs w:val="16"/>
      </w:rPr>
      <w:t>Padcev</w:t>
    </w:r>
    <w:r w:rsidR="00817D0B">
      <w:rPr>
        <w:rFonts w:cs="Arial"/>
        <w:noProof/>
        <w:snapToGrid w:val="0"/>
        <w:color w:val="000000"/>
        <w:sz w:val="16"/>
        <w:szCs w:val="16"/>
      </w:rPr>
      <w:t xml:space="preserve"> SGM 3469-A</w:t>
    </w:r>
    <w:r w:rsidR="00817D0B" w:rsidRPr="00EA2DBE">
      <w:rPr>
        <w:rFonts w:cs="Arial"/>
        <w:noProof/>
        <w:sz w:val="16"/>
        <w:szCs w:val="16"/>
      </w:rPr>
      <w:t xml:space="preserve"> </w:t>
    </w:r>
    <w:r w:rsidR="003B08B0">
      <w:rPr>
        <w:rFonts w:cs="Arial"/>
        <w:noProof/>
        <w:sz w:val="16"/>
        <w:szCs w:val="16"/>
      </w:rPr>
      <w:t>P</w:t>
    </w:r>
    <w:r w:rsidR="00817D0B" w:rsidRPr="00EA2DBE">
      <w:rPr>
        <w:rFonts w:cs="Arial"/>
        <w:noProof/>
        <w:sz w:val="16"/>
        <w:szCs w:val="16"/>
      </w:rPr>
      <w:t>2024</w:t>
    </w:r>
    <w:r w:rsidR="00817D0B">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2132BFB9"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3DBC6284" w:rsidR="00ED04EC" w:rsidRPr="00F50D98" w:rsidRDefault="00F50D98" w:rsidP="00EA2DBE">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D9B6B" w14:textId="1A8AB0FC" w:rsidR="005031D4" w:rsidRPr="00EC47B6" w:rsidRDefault="005031D4" w:rsidP="005031D4">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817D0B" w:rsidRPr="00EA2DBE">
      <w:rPr>
        <w:rFonts w:cs="Arial"/>
        <w:noProof/>
        <w:sz w:val="16"/>
        <w:szCs w:val="16"/>
      </w:rPr>
      <w:t>Padcev</w:t>
    </w:r>
    <w:r w:rsidR="00817D0B">
      <w:rPr>
        <w:rFonts w:cs="Arial"/>
        <w:noProof/>
        <w:snapToGrid w:val="0"/>
        <w:color w:val="000000"/>
        <w:sz w:val="16"/>
        <w:szCs w:val="16"/>
      </w:rPr>
      <w:t xml:space="preserve"> SGM 3469-A</w:t>
    </w:r>
    <w:r w:rsidR="00817D0B" w:rsidRPr="00EA2DBE">
      <w:rPr>
        <w:rFonts w:cs="Arial"/>
        <w:noProof/>
        <w:sz w:val="16"/>
        <w:szCs w:val="16"/>
      </w:rPr>
      <w:t xml:space="preserve"> 2024</w:t>
    </w:r>
    <w:r w:rsidR="00817D0B">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2024 CVS Caremark. All rights reserved.</w:t>
    </w:r>
  </w:p>
  <w:p w14:paraId="20D027D2" w14:textId="02B92DA9" w:rsidR="005031D4" w:rsidRPr="00EC47B6" w:rsidRDefault="005031D4" w:rsidP="005031D4">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167A5935" w14:textId="0E319359" w:rsidR="005031D4" w:rsidRPr="00F50D98" w:rsidRDefault="005031D4" w:rsidP="00EA2DBE">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1</w:t>
    </w:r>
    <w:r w:rsidRPr="00EC47B6">
      <w:rPr>
        <w:rFonts w:cs="Arial"/>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02E06" w14:textId="2BE7C78E" w:rsidR="00EA6274" w:rsidRPr="00EC47B6" w:rsidRDefault="00EA6274" w:rsidP="00EA6274">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Pr="00C70CB0">
      <w:rPr>
        <w:rFonts w:cs="Arial"/>
        <w:noProof/>
        <w:sz w:val="16"/>
        <w:szCs w:val="16"/>
      </w:rPr>
      <w:t>Padcev</w:t>
    </w:r>
    <w:r>
      <w:rPr>
        <w:rFonts w:cs="Arial"/>
        <w:noProof/>
        <w:snapToGrid w:val="0"/>
        <w:color w:val="000000"/>
        <w:sz w:val="16"/>
        <w:szCs w:val="16"/>
      </w:rPr>
      <w:t xml:space="preserve"> SGM 3469-A</w:t>
    </w:r>
    <w:r w:rsidRPr="00C70CB0">
      <w:rPr>
        <w:rFonts w:cs="Arial"/>
        <w:noProof/>
        <w:sz w:val="16"/>
        <w:szCs w:val="16"/>
      </w:rPr>
      <w:t xml:space="preserve"> </w:t>
    </w:r>
    <w:r w:rsidR="003B08B0">
      <w:rPr>
        <w:rFonts w:cs="Arial"/>
        <w:noProof/>
        <w:sz w:val="16"/>
        <w:szCs w:val="16"/>
      </w:rPr>
      <w:t>P</w:t>
    </w:r>
    <w:r w:rsidRPr="00C70CB0">
      <w:rPr>
        <w:rFonts w:cs="Arial"/>
        <w:noProof/>
        <w:sz w:val="16"/>
        <w:szCs w:val="16"/>
      </w:rPr>
      <w:t>2024</w:t>
    </w:r>
    <w:r>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2024 CVS Caremark. All rights reserved.</w:t>
    </w:r>
  </w:p>
  <w:p w14:paraId="34A281B5" w14:textId="77777777" w:rsidR="00EA6274" w:rsidRPr="00EC47B6" w:rsidRDefault="00EA6274" w:rsidP="00EA6274">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w:t>
    </w:r>
    <w:proofErr w:type="gramStart"/>
    <w:r w:rsidRPr="00EC47B6">
      <w:rPr>
        <w:rFonts w:cs="Arial"/>
        <w:snapToGrid w:val="0"/>
        <w:sz w:val="16"/>
        <w:szCs w:val="16"/>
      </w:rPr>
      <w:t>distributed</w:t>
    </w:r>
    <w:proofErr w:type="gramEnd"/>
    <w:r w:rsidRPr="00EC47B6">
      <w:rPr>
        <w:rFonts w:cs="Arial"/>
        <w:snapToGrid w:val="0"/>
        <w:sz w:val="16"/>
        <w:szCs w:val="16"/>
      </w:rPr>
      <w:t xml:space="preserve">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32016660" w14:textId="0954C48E" w:rsidR="005031D4" w:rsidRPr="00EA6274" w:rsidRDefault="00EA6274" w:rsidP="00EA2DBE">
    <w:pPr>
      <w:autoSpaceDE w:val="0"/>
      <w:autoSpaceDN w:val="0"/>
      <w:adjustRightInd w:val="0"/>
      <w:jc w:val="cente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2</w:t>
    </w:r>
    <w:r w:rsidRPr="00EC47B6">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9478C" w14:textId="77777777" w:rsidR="00953A2C" w:rsidRDefault="00953A2C">
      <w:r>
        <w:separator/>
      </w:r>
    </w:p>
  </w:footnote>
  <w:footnote w:type="continuationSeparator" w:id="0">
    <w:p w14:paraId="58CDEEA1" w14:textId="77777777" w:rsidR="00953A2C" w:rsidRDefault="00953A2C">
      <w:r>
        <w:continuationSeparator/>
      </w:r>
    </w:p>
  </w:footnote>
  <w:footnote w:type="continuationNotice" w:id="1">
    <w:p w14:paraId="4B5FFD4A" w14:textId="77777777" w:rsidR="00953A2C" w:rsidRDefault="00953A2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9415DF" w14:paraId="16262E63" w14:textId="77777777">
      <w:trPr>
        <w:trHeight w:val="144"/>
        <w:jc w:val="right"/>
      </w:trPr>
      <w:tc>
        <w:tcPr>
          <w:tcW w:w="1854" w:type="dxa"/>
          <w:hideMark/>
        </w:tcPr>
        <w:p w14:paraId="18F550B7" w14:textId="77777777" w:rsidR="00ED04EC" w:rsidRPr="009415DF" w:rsidRDefault="00ED04EC" w:rsidP="00ED04EC">
          <w:pPr>
            <w:pStyle w:val="Header"/>
            <w:rPr>
              <w:rFonts w:cs="Arial"/>
              <w:sz w:val="16"/>
              <w:szCs w:val="16"/>
            </w:rPr>
          </w:pPr>
          <w:r w:rsidRPr="009415DF">
            <w:rPr>
              <w:rFonts w:cs="Arial"/>
              <w:sz w:val="16"/>
              <w:szCs w:val="16"/>
            </w:rPr>
            <w:t>Reference number(s)</w:t>
          </w:r>
        </w:p>
      </w:tc>
    </w:tr>
    <w:tr w:rsidR="00ED04EC" w:rsidRPr="009415DF" w14:paraId="703C6588" w14:textId="77777777">
      <w:trPr>
        <w:trHeight w:val="378"/>
        <w:jc w:val="right"/>
      </w:trPr>
      <w:tc>
        <w:tcPr>
          <w:tcW w:w="1854" w:type="dxa"/>
          <w:hideMark/>
        </w:tcPr>
        <w:p w14:paraId="51CE3E64" w14:textId="4A30B16C" w:rsidR="00ED04EC" w:rsidRPr="009415DF" w:rsidRDefault="009415DF" w:rsidP="00ED04EC">
          <w:pPr>
            <w:pStyle w:val="Header"/>
            <w:rPr>
              <w:rFonts w:cs="Arial"/>
              <w:sz w:val="16"/>
              <w:szCs w:val="16"/>
            </w:rPr>
          </w:pPr>
          <w:r w:rsidRPr="009415DF">
            <w:rPr>
              <w:rFonts w:cs="Arial"/>
              <w:sz w:val="16"/>
              <w:szCs w:val="16"/>
            </w:rPr>
            <w:t>3469-A</w:t>
          </w:r>
        </w:p>
      </w:tc>
    </w:tr>
  </w:tbl>
  <w:p w14:paraId="0D5ACCC2" w14:textId="462A1075" w:rsidR="00ED04EC" w:rsidRPr="009415DF" w:rsidRDefault="00ED04EC" w:rsidP="00B02279">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491E72"/>
    <w:multiLevelType w:val="hybridMultilevel"/>
    <w:tmpl w:val="5CA46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1816216"/>
    <w:multiLevelType w:val="hybridMultilevel"/>
    <w:tmpl w:val="C6CAC752"/>
    <w:lvl w:ilvl="0" w:tplc="3DE287B6">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01CD3C03"/>
    <w:multiLevelType w:val="hybridMultilevel"/>
    <w:tmpl w:val="EFA8BDC6"/>
    <w:lvl w:ilvl="0" w:tplc="6C04556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36E3FD8"/>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150A5442"/>
    <w:multiLevelType w:val="multilevel"/>
    <w:tmpl w:val="CA26C054"/>
    <w:lvl w:ilvl="0">
      <w:start w:val="1"/>
      <w:numFmt w:val="upperLetter"/>
      <w:lvlText w:val="%1."/>
      <w:lvlJc w:val="left"/>
      <w:pPr>
        <w:tabs>
          <w:tab w:val="num" w:pos="1170"/>
        </w:tabs>
        <w:ind w:left="1170" w:hanging="360"/>
      </w:pPr>
      <w:rPr>
        <w:rFonts w:hint="default"/>
      </w:rPr>
    </w:lvl>
    <w:lvl w:ilvl="1">
      <w:start w:val="1"/>
      <w:numFmt w:val="decimal"/>
      <w:lvlText w:val="%2."/>
      <w:lvlJc w:val="left"/>
      <w:pPr>
        <w:ind w:left="1530" w:hanging="360"/>
      </w:pPr>
      <w:rPr>
        <w:rFonts w:hint="default"/>
      </w:rPr>
    </w:lvl>
    <w:lvl w:ilvl="2">
      <w:start w:val="1"/>
      <w:numFmt w:val="lowerLetter"/>
      <w:lvlText w:val="%3."/>
      <w:lvlJc w:val="left"/>
      <w:pPr>
        <w:tabs>
          <w:tab w:val="num" w:pos="1800"/>
        </w:tabs>
        <w:ind w:left="1800" w:hanging="360"/>
      </w:pPr>
      <w:rPr>
        <w:rFonts w:hint="default"/>
      </w:rPr>
    </w:lvl>
    <w:lvl w:ilvl="3">
      <w:start w:val="1"/>
      <w:numFmt w:val="decimal"/>
      <w:lvlText w:val="%4."/>
      <w:lvlJc w:val="left"/>
      <w:pPr>
        <w:tabs>
          <w:tab w:val="num" w:pos="3330"/>
        </w:tabs>
        <w:ind w:left="3330" w:hanging="360"/>
      </w:pPr>
      <w:rPr>
        <w:rFonts w:hint="default"/>
      </w:rPr>
    </w:lvl>
    <w:lvl w:ilvl="4">
      <w:start w:val="1"/>
      <w:numFmt w:val="decimal"/>
      <w:lvlText w:val="%5."/>
      <w:lvlJc w:val="left"/>
      <w:pPr>
        <w:tabs>
          <w:tab w:val="num" w:pos="4050"/>
        </w:tabs>
        <w:ind w:left="4050" w:hanging="360"/>
      </w:pPr>
      <w:rPr>
        <w:rFonts w:hint="default"/>
      </w:rPr>
    </w:lvl>
    <w:lvl w:ilvl="5">
      <w:start w:val="1"/>
      <w:numFmt w:val="decimal"/>
      <w:lvlText w:val="%6."/>
      <w:lvlJc w:val="left"/>
      <w:pPr>
        <w:tabs>
          <w:tab w:val="num" w:pos="4770"/>
        </w:tabs>
        <w:ind w:left="4770" w:hanging="360"/>
      </w:pPr>
      <w:rPr>
        <w:rFonts w:hint="default"/>
      </w:rPr>
    </w:lvl>
    <w:lvl w:ilvl="6">
      <w:start w:val="1"/>
      <w:numFmt w:val="decimal"/>
      <w:lvlText w:val="%7."/>
      <w:lvlJc w:val="left"/>
      <w:pPr>
        <w:tabs>
          <w:tab w:val="num" w:pos="5490"/>
        </w:tabs>
        <w:ind w:left="5490" w:hanging="360"/>
      </w:pPr>
      <w:rPr>
        <w:rFonts w:hint="default"/>
      </w:rPr>
    </w:lvl>
    <w:lvl w:ilvl="7">
      <w:start w:val="1"/>
      <w:numFmt w:val="decimal"/>
      <w:lvlText w:val="%8."/>
      <w:lvlJc w:val="left"/>
      <w:pPr>
        <w:tabs>
          <w:tab w:val="num" w:pos="6210"/>
        </w:tabs>
        <w:ind w:left="6210" w:hanging="360"/>
      </w:pPr>
      <w:rPr>
        <w:rFonts w:hint="default"/>
      </w:rPr>
    </w:lvl>
    <w:lvl w:ilvl="8">
      <w:start w:val="1"/>
      <w:numFmt w:val="decimal"/>
      <w:lvlText w:val="%9."/>
      <w:lvlJc w:val="left"/>
      <w:pPr>
        <w:tabs>
          <w:tab w:val="num" w:pos="6930"/>
        </w:tabs>
        <w:ind w:left="6930" w:hanging="360"/>
      </w:pPr>
      <w:rPr>
        <w:rFonts w:hint="default"/>
      </w:rPr>
    </w:lvl>
  </w:abstractNum>
  <w:abstractNum w:abstractNumId="18"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9"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2AF81F5C"/>
    <w:multiLevelType w:val="multilevel"/>
    <w:tmpl w:val="801C564C"/>
    <w:lvl w:ilvl="0">
      <w:start w:val="2"/>
      <w:numFmt w:val="upperLetter"/>
      <w:lvlText w:val="%1."/>
      <w:lvlJc w:val="left"/>
      <w:pPr>
        <w:tabs>
          <w:tab w:val="num" w:pos="1170"/>
        </w:tabs>
        <w:ind w:left="1170" w:hanging="360"/>
      </w:pPr>
      <w:rPr>
        <w:rFonts w:hint="default"/>
      </w:rPr>
    </w:lvl>
    <w:lvl w:ilvl="1">
      <w:start w:val="1"/>
      <w:numFmt w:val="decimal"/>
      <w:lvlText w:val="%2."/>
      <w:lvlJc w:val="left"/>
      <w:pPr>
        <w:tabs>
          <w:tab w:val="num" w:pos="1440"/>
        </w:tabs>
        <w:ind w:left="1440" w:hanging="360"/>
      </w:pPr>
      <w:rPr>
        <w:rFonts w:hint="default"/>
      </w:rPr>
    </w:lvl>
    <w:lvl w:ilvl="2">
      <w:start w:val="1"/>
      <w:numFmt w:val="lowerLetter"/>
      <w:lvlText w:val="%3."/>
      <w:lvlJc w:val="left"/>
      <w:pPr>
        <w:ind w:left="1800" w:hanging="360"/>
      </w:p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1"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8356521"/>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FFD6932"/>
    <w:multiLevelType w:val="hybridMultilevel"/>
    <w:tmpl w:val="4702A514"/>
    <w:lvl w:ilvl="0" w:tplc="693EDF9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536CD7"/>
    <w:multiLevelType w:val="hybridMultilevel"/>
    <w:tmpl w:val="DAFC7110"/>
    <w:lvl w:ilvl="0" w:tplc="5652FFA4">
      <w:start w:val="1"/>
      <w:numFmt w:val="upperRoman"/>
      <w:lvlText w:val="%1."/>
      <w:lvlJc w:val="righ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041504C"/>
    <w:multiLevelType w:val="hybridMultilevel"/>
    <w:tmpl w:val="58CAC7C0"/>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5"/>
  </w:num>
  <w:num w:numId="2" w16cid:durableId="606935877">
    <w:abstractNumId w:val="31"/>
  </w:num>
  <w:num w:numId="3" w16cid:durableId="611589570">
    <w:abstractNumId w:val="27"/>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6"/>
  </w:num>
  <w:num w:numId="15" w16cid:durableId="616722934">
    <w:abstractNumId w:val="14"/>
  </w:num>
  <w:num w:numId="16" w16cid:durableId="898320195">
    <w:abstractNumId w:val="22"/>
  </w:num>
  <w:num w:numId="17" w16cid:durableId="2128498676">
    <w:abstractNumId w:val="35"/>
  </w:num>
  <w:num w:numId="18" w16cid:durableId="299724409">
    <w:abstractNumId w:val="28"/>
  </w:num>
  <w:num w:numId="19" w16cid:durableId="214585573">
    <w:abstractNumId w:val="18"/>
  </w:num>
  <w:num w:numId="20" w16cid:durableId="1289816170">
    <w:abstractNumId w:val="19"/>
  </w:num>
  <w:num w:numId="21" w16cid:durableId="1066490929">
    <w:abstractNumId w:val="36"/>
  </w:num>
  <w:num w:numId="22" w16cid:durableId="1472481103">
    <w:abstractNumId w:val="30"/>
  </w:num>
  <w:num w:numId="23" w16cid:durableId="1997420403">
    <w:abstractNumId w:val="32"/>
  </w:num>
  <w:num w:numId="24" w16cid:durableId="33312838">
    <w:abstractNumId w:val="29"/>
  </w:num>
  <w:num w:numId="25" w16cid:durableId="507404939">
    <w:abstractNumId w:val="21"/>
  </w:num>
  <w:num w:numId="26" w16cid:durableId="1950313333">
    <w:abstractNumId w:val="25"/>
  </w:num>
  <w:num w:numId="27" w16cid:durableId="1866016584">
    <w:abstractNumId w:val="23"/>
  </w:num>
  <w:num w:numId="28" w16cid:durableId="1592620595">
    <w:abstractNumId w:val="33"/>
  </w:num>
  <w:num w:numId="29" w16cid:durableId="282002883">
    <w:abstractNumId w:val="11"/>
  </w:num>
  <w:num w:numId="30" w16cid:durableId="1955095456">
    <w:abstractNumId w:val="26"/>
  </w:num>
  <w:num w:numId="31" w16cid:durableId="97412149">
    <w:abstractNumId w:val="34"/>
  </w:num>
  <w:num w:numId="32" w16cid:durableId="1173908314">
    <w:abstractNumId w:val="12"/>
  </w:num>
  <w:num w:numId="33" w16cid:durableId="1489908302">
    <w:abstractNumId w:val="17"/>
  </w:num>
  <w:num w:numId="34" w16cid:durableId="1487895435">
    <w:abstractNumId w:val="20"/>
  </w:num>
  <w:num w:numId="35" w16cid:durableId="1859736707">
    <w:abstractNumId w:val="10"/>
  </w:num>
  <w:num w:numId="36" w16cid:durableId="1855656405">
    <w:abstractNumId w:val="24"/>
  </w:num>
  <w:num w:numId="37" w16cid:durableId="11691785">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2B5C"/>
    <w:rsid w:val="0003572F"/>
    <w:rsid w:val="00036079"/>
    <w:rsid w:val="00037636"/>
    <w:rsid w:val="00037A95"/>
    <w:rsid w:val="00041200"/>
    <w:rsid w:val="0004226E"/>
    <w:rsid w:val="000425B0"/>
    <w:rsid w:val="00043056"/>
    <w:rsid w:val="00043585"/>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3E8"/>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9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436C"/>
    <w:rsid w:val="000C5A6F"/>
    <w:rsid w:val="000C625F"/>
    <w:rsid w:val="000C6C34"/>
    <w:rsid w:val="000C6FAA"/>
    <w:rsid w:val="000C7000"/>
    <w:rsid w:val="000C78EA"/>
    <w:rsid w:val="000C7B51"/>
    <w:rsid w:val="000C7EA2"/>
    <w:rsid w:val="000D0438"/>
    <w:rsid w:val="000D04AF"/>
    <w:rsid w:val="000D1463"/>
    <w:rsid w:val="000D19C4"/>
    <w:rsid w:val="000D1CEC"/>
    <w:rsid w:val="000D1D17"/>
    <w:rsid w:val="000D2496"/>
    <w:rsid w:val="000D24FD"/>
    <w:rsid w:val="000D31D7"/>
    <w:rsid w:val="000D39D5"/>
    <w:rsid w:val="000D44C7"/>
    <w:rsid w:val="000D454D"/>
    <w:rsid w:val="000D4EA4"/>
    <w:rsid w:val="000D5101"/>
    <w:rsid w:val="000D56C1"/>
    <w:rsid w:val="000D5978"/>
    <w:rsid w:val="000D5D4B"/>
    <w:rsid w:val="000D7ED8"/>
    <w:rsid w:val="000E0438"/>
    <w:rsid w:val="000E095D"/>
    <w:rsid w:val="000E0C62"/>
    <w:rsid w:val="000E24FA"/>
    <w:rsid w:val="000E2ECC"/>
    <w:rsid w:val="000E37E4"/>
    <w:rsid w:val="000E3A1B"/>
    <w:rsid w:val="000E3CA7"/>
    <w:rsid w:val="000E3DD4"/>
    <w:rsid w:val="000E65C5"/>
    <w:rsid w:val="000E6D53"/>
    <w:rsid w:val="000E7263"/>
    <w:rsid w:val="000E7B01"/>
    <w:rsid w:val="000E7C60"/>
    <w:rsid w:val="000F0AC9"/>
    <w:rsid w:val="000F1039"/>
    <w:rsid w:val="000F1FBC"/>
    <w:rsid w:val="000F2A45"/>
    <w:rsid w:val="000F2CC4"/>
    <w:rsid w:val="000F3023"/>
    <w:rsid w:val="000F41E3"/>
    <w:rsid w:val="000F4745"/>
    <w:rsid w:val="000F5383"/>
    <w:rsid w:val="000F5A0F"/>
    <w:rsid w:val="000F61E0"/>
    <w:rsid w:val="000F677F"/>
    <w:rsid w:val="000F69A0"/>
    <w:rsid w:val="000F6E71"/>
    <w:rsid w:val="000F743E"/>
    <w:rsid w:val="000F75BA"/>
    <w:rsid w:val="00100B91"/>
    <w:rsid w:val="001012A6"/>
    <w:rsid w:val="00101748"/>
    <w:rsid w:val="00101C90"/>
    <w:rsid w:val="00101D40"/>
    <w:rsid w:val="00103111"/>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494A"/>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752"/>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2AD"/>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48C1"/>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2C57"/>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D43"/>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37E07"/>
    <w:rsid w:val="00240136"/>
    <w:rsid w:val="00240736"/>
    <w:rsid w:val="00240C70"/>
    <w:rsid w:val="0024185D"/>
    <w:rsid w:val="002423DE"/>
    <w:rsid w:val="00242E29"/>
    <w:rsid w:val="00242F54"/>
    <w:rsid w:val="00243017"/>
    <w:rsid w:val="0024305D"/>
    <w:rsid w:val="00244442"/>
    <w:rsid w:val="0024498F"/>
    <w:rsid w:val="00247014"/>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640C"/>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98"/>
    <w:rsid w:val="002773DB"/>
    <w:rsid w:val="00277791"/>
    <w:rsid w:val="002777DF"/>
    <w:rsid w:val="002807CC"/>
    <w:rsid w:val="00280C69"/>
    <w:rsid w:val="00280EC5"/>
    <w:rsid w:val="00281A75"/>
    <w:rsid w:val="00281F6C"/>
    <w:rsid w:val="0028234F"/>
    <w:rsid w:val="0028452B"/>
    <w:rsid w:val="00284D74"/>
    <w:rsid w:val="00285DDF"/>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9B8"/>
    <w:rsid w:val="002A6B25"/>
    <w:rsid w:val="002A6B4B"/>
    <w:rsid w:val="002A6CA0"/>
    <w:rsid w:val="002A70D8"/>
    <w:rsid w:val="002B0460"/>
    <w:rsid w:val="002B06CF"/>
    <w:rsid w:val="002B07EA"/>
    <w:rsid w:val="002B0B5F"/>
    <w:rsid w:val="002B0F7E"/>
    <w:rsid w:val="002B101E"/>
    <w:rsid w:val="002B1581"/>
    <w:rsid w:val="002B306F"/>
    <w:rsid w:val="002B3172"/>
    <w:rsid w:val="002B371A"/>
    <w:rsid w:val="002B4271"/>
    <w:rsid w:val="002B4C3B"/>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1A5"/>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5A"/>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9BA"/>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97160"/>
    <w:rsid w:val="003A0693"/>
    <w:rsid w:val="003A2056"/>
    <w:rsid w:val="003A2E60"/>
    <w:rsid w:val="003A4B3A"/>
    <w:rsid w:val="003A5707"/>
    <w:rsid w:val="003A6459"/>
    <w:rsid w:val="003A7860"/>
    <w:rsid w:val="003A796A"/>
    <w:rsid w:val="003B009E"/>
    <w:rsid w:val="003B08B0"/>
    <w:rsid w:val="003B1472"/>
    <w:rsid w:val="003B1A5F"/>
    <w:rsid w:val="003B1D0F"/>
    <w:rsid w:val="003B282B"/>
    <w:rsid w:val="003B2B19"/>
    <w:rsid w:val="003B4BC1"/>
    <w:rsid w:val="003B4FB6"/>
    <w:rsid w:val="003B5A8C"/>
    <w:rsid w:val="003B5C47"/>
    <w:rsid w:val="003B6158"/>
    <w:rsid w:val="003B7DE9"/>
    <w:rsid w:val="003C1EA0"/>
    <w:rsid w:val="003C219B"/>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3A0"/>
    <w:rsid w:val="003E374E"/>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1798"/>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1F14"/>
    <w:rsid w:val="0042209A"/>
    <w:rsid w:val="0042222E"/>
    <w:rsid w:val="00422416"/>
    <w:rsid w:val="004226CD"/>
    <w:rsid w:val="00422766"/>
    <w:rsid w:val="004236F4"/>
    <w:rsid w:val="00423C96"/>
    <w:rsid w:val="00425453"/>
    <w:rsid w:val="004260D4"/>
    <w:rsid w:val="004260DE"/>
    <w:rsid w:val="0042761F"/>
    <w:rsid w:val="00427B15"/>
    <w:rsid w:val="00430B2F"/>
    <w:rsid w:val="00430D67"/>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1CD"/>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5C55"/>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0A2"/>
    <w:rsid w:val="004A23E2"/>
    <w:rsid w:val="004A261A"/>
    <w:rsid w:val="004A36A8"/>
    <w:rsid w:val="004A37EB"/>
    <w:rsid w:val="004A3A2D"/>
    <w:rsid w:val="004A3CCF"/>
    <w:rsid w:val="004A476E"/>
    <w:rsid w:val="004A5096"/>
    <w:rsid w:val="004A54FE"/>
    <w:rsid w:val="004A5DC0"/>
    <w:rsid w:val="004A603F"/>
    <w:rsid w:val="004A64E5"/>
    <w:rsid w:val="004A6AB4"/>
    <w:rsid w:val="004A7239"/>
    <w:rsid w:val="004A75B0"/>
    <w:rsid w:val="004A78CD"/>
    <w:rsid w:val="004A7A22"/>
    <w:rsid w:val="004A7E0A"/>
    <w:rsid w:val="004B0D3E"/>
    <w:rsid w:val="004B0F4B"/>
    <w:rsid w:val="004B15BB"/>
    <w:rsid w:val="004B15EA"/>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645"/>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1D4"/>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6CDB"/>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57844"/>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6F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BA6"/>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823"/>
    <w:rsid w:val="00597BF2"/>
    <w:rsid w:val="005A015C"/>
    <w:rsid w:val="005A04AA"/>
    <w:rsid w:val="005A09BB"/>
    <w:rsid w:val="005A0E43"/>
    <w:rsid w:val="005A32D3"/>
    <w:rsid w:val="005A33BD"/>
    <w:rsid w:val="005A3D7E"/>
    <w:rsid w:val="005A4A78"/>
    <w:rsid w:val="005A4DFB"/>
    <w:rsid w:val="005A542C"/>
    <w:rsid w:val="005A5CE8"/>
    <w:rsid w:val="005A6559"/>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4D7C"/>
    <w:rsid w:val="005B52C4"/>
    <w:rsid w:val="005C026B"/>
    <w:rsid w:val="005C0790"/>
    <w:rsid w:val="005C194C"/>
    <w:rsid w:val="005C2667"/>
    <w:rsid w:val="005C295A"/>
    <w:rsid w:val="005C2C21"/>
    <w:rsid w:val="005C3B4F"/>
    <w:rsid w:val="005C3BE3"/>
    <w:rsid w:val="005C44D1"/>
    <w:rsid w:val="005C52A6"/>
    <w:rsid w:val="005C6812"/>
    <w:rsid w:val="005C6D2C"/>
    <w:rsid w:val="005C70B5"/>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64E"/>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434"/>
    <w:rsid w:val="0063460D"/>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202"/>
    <w:rsid w:val="006909A7"/>
    <w:rsid w:val="006913AD"/>
    <w:rsid w:val="006917AF"/>
    <w:rsid w:val="006919C1"/>
    <w:rsid w:val="0069283D"/>
    <w:rsid w:val="00692A50"/>
    <w:rsid w:val="00693997"/>
    <w:rsid w:val="00693B34"/>
    <w:rsid w:val="00694B18"/>
    <w:rsid w:val="00694B30"/>
    <w:rsid w:val="00694B8A"/>
    <w:rsid w:val="00694C2D"/>
    <w:rsid w:val="00696693"/>
    <w:rsid w:val="00697304"/>
    <w:rsid w:val="006A0C3B"/>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5240"/>
    <w:rsid w:val="006D618E"/>
    <w:rsid w:val="006D62DA"/>
    <w:rsid w:val="006D662E"/>
    <w:rsid w:val="006D66E8"/>
    <w:rsid w:val="006D6AEC"/>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5890"/>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2C13"/>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C96"/>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C76C2"/>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4876"/>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17D0B"/>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18B8"/>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CC2"/>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5BF5"/>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4AC3"/>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261"/>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15DF"/>
    <w:rsid w:val="00942522"/>
    <w:rsid w:val="0094296E"/>
    <w:rsid w:val="0094298C"/>
    <w:rsid w:val="009434E1"/>
    <w:rsid w:val="0094553A"/>
    <w:rsid w:val="00946CDC"/>
    <w:rsid w:val="00947FC1"/>
    <w:rsid w:val="009517E1"/>
    <w:rsid w:val="00951B46"/>
    <w:rsid w:val="009533D9"/>
    <w:rsid w:val="0095377B"/>
    <w:rsid w:val="00953A2C"/>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E72FE"/>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6451"/>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1AB"/>
    <w:rsid w:val="00A82509"/>
    <w:rsid w:val="00A82DDB"/>
    <w:rsid w:val="00A83FA7"/>
    <w:rsid w:val="00A84AD9"/>
    <w:rsid w:val="00A84CB5"/>
    <w:rsid w:val="00A85D18"/>
    <w:rsid w:val="00A8608E"/>
    <w:rsid w:val="00A86211"/>
    <w:rsid w:val="00A87B90"/>
    <w:rsid w:val="00A87BF7"/>
    <w:rsid w:val="00A9069E"/>
    <w:rsid w:val="00A9152C"/>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49DA"/>
    <w:rsid w:val="00AB5F0B"/>
    <w:rsid w:val="00AB6199"/>
    <w:rsid w:val="00AB67A6"/>
    <w:rsid w:val="00AB6C64"/>
    <w:rsid w:val="00AB7A2F"/>
    <w:rsid w:val="00AB7AED"/>
    <w:rsid w:val="00AC0183"/>
    <w:rsid w:val="00AC04B1"/>
    <w:rsid w:val="00AC0698"/>
    <w:rsid w:val="00AC081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161"/>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77C"/>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1CD0"/>
    <w:rsid w:val="00C1258B"/>
    <w:rsid w:val="00C12A64"/>
    <w:rsid w:val="00C1305C"/>
    <w:rsid w:val="00C132E2"/>
    <w:rsid w:val="00C13981"/>
    <w:rsid w:val="00C13B83"/>
    <w:rsid w:val="00C13C5D"/>
    <w:rsid w:val="00C13C9B"/>
    <w:rsid w:val="00C13D90"/>
    <w:rsid w:val="00C14080"/>
    <w:rsid w:val="00C147CB"/>
    <w:rsid w:val="00C14998"/>
    <w:rsid w:val="00C14AE0"/>
    <w:rsid w:val="00C14D20"/>
    <w:rsid w:val="00C15E25"/>
    <w:rsid w:val="00C168A4"/>
    <w:rsid w:val="00C168D7"/>
    <w:rsid w:val="00C1728D"/>
    <w:rsid w:val="00C1768D"/>
    <w:rsid w:val="00C202AC"/>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3E48"/>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38D6"/>
    <w:rsid w:val="00CC40AF"/>
    <w:rsid w:val="00CC48BF"/>
    <w:rsid w:val="00CC5112"/>
    <w:rsid w:val="00CC5559"/>
    <w:rsid w:val="00CC5E15"/>
    <w:rsid w:val="00CC63BD"/>
    <w:rsid w:val="00CC6AA8"/>
    <w:rsid w:val="00CC6D21"/>
    <w:rsid w:val="00CC76FA"/>
    <w:rsid w:val="00CD03D0"/>
    <w:rsid w:val="00CD04D5"/>
    <w:rsid w:val="00CD13FE"/>
    <w:rsid w:val="00CD1B5B"/>
    <w:rsid w:val="00CD3C27"/>
    <w:rsid w:val="00CD4084"/>
    <w:rsid w:val="00CD59BF"/>
    <w:rsid w:val="00CD6E3C"/>
    <w:rsid w:val="00CD74BA"/>
    <w:rsid w:val="00CE0B55"/>
    <w:rsid w:val="00CE0E3E"/>
    <w:rsid w:val="00CE12A6"/>
    <w:rsid w:val="00CE1544"/>
    <w:rsid w:val="00CE1968"/>
    <w:rsid w:val="00CE1CC9"/>
    <w:rsid w:val="00CE2909"/>
    <w:rsid w:val="00CE2BD5"/>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8CA"/>
    <w:rsid w:val="00D17BE1"/>
    <w:rsid w:val="00D20446"/>
    <w:rsid w:val="00D20EFA"/>
    <w:rsid w:val="00D2121B"/>
    <w:rsid w:val="00D215BF"/>
    <w:rsid w:val="00D21D0C"/>
    <w:rsid w:val="00D2332E"/>
    <w:rsid w:val="00D24201"/>
    <w:rsid w:val="00D242A6"/>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349"/>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8"/>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3F83"/>
    <w:rsid w:val="00E54271"/>
    <w:rsid w:val="00E5515A"/>
    <w:rsid w:val="00E552B0"/>
    <w:rsid w:val="00E55E39"/>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5C93"/>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2DBE"/>
    <w:rsid w:val="00EA3622"/>
    <w:rsid w:val="00EA36F5"/>
    <w:rsid w:val="00EA3852"/>
    <w:rsid w:val="00EA3B26"/>
    <w:rsid w:val="00EA3C51"/>
    <w:rsid w:val="00EA3CCE"/>
    <w:rsid w:val="00EA4048"/>
    <w:rsid w:val="00EA4698"/>
    <w:rsid w:val="00EA4ABA"/>
    <w:rsid w:val="00EA5754"/>
    <w:rsid w:val="00EA5ECE"/>
    <w:rsid w:val="00EA6090"/>
    <w:rsid w:val="00EA6274"/>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0D01"/>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825"/>
    <w:rsid w:val="00F75C81"/>
    <w:rsid w:val="00F760BB"/>
    <w:rsid w:val="00F76A97"/>
    <w:rsid w:val="00F77B5A"/>
    <w:rsid w:val="00F77CFC"/>
    <w:rsid w:val="00F803E8"/>
    <w:rsid w:val="00F810F2"/>
    <w:rsid w:val="00F81192"/>
    <w:rsid w:val="00F81513"/>
    <w:rsid w:val="00F81D51"/>
    <w:rsid w:val="00F82083"/>
    <w:rsid w:val="00F82179"/>
    <w:rsid w:val="00F826EA"/>
    <w:rsid w:val="00F82E88"/>
    <w:rsid w:val="00F83AB3"/>
    <w:rsid w:val="00F859EC"/>
    <w:rsid w:val="00F85A23"/>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C44"/>
    <w:rsid w:val="00FA6ECF"/>
    <w:rsid w:val="00FA74FF"/>
    <w:rsid w:val="00FA7AA6"/>
    <w:rsid w:val="00FA7C01"/>
    <w:rsid w:val="00FA7C9C"/>
    <w:rsid w:val="00FA7D10"/>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1064"/>
    <w:rsid w:val="00FE2763"/>
    <w:rsid w:val="00FE2E74"/>
    <w:rsid w:val="00FE3153"/>
    <w:rsid w:val="00FE3327"/>
    <w:rsid w:val="00FE357C"/>
    <w:rsid w:val="00FE3FB8"/>
    <w:rsid w:val="00FE41B8"/>
    <w:rsid w:val="00FE4729"/>
    <w:rsid w:val="00FE4ABC"/>
    <w:rsid w:val="00FE4D3E"/>
    <w:rsid w:val="00FE4F0E"/>
    <w:rsid w:val="00FE6BAD"/>
    <w:rsid w:val="00FE6FF7"/>
    <w:rsid w:val="00FE78A7"/>
    <w:rsid w:val="00FE7C80"/>
    <w:rsid w:val="00FF2F94"/>
    <w:rsid w:val="00FF35C5"/>
    <w:rsid w:val="00FF37B2"/>
    <w:rsid w:val="00FF530E"/>
    <w:rsid w:val="00FF5C3C"/>
    <w:rsid w:val="00FF66BF"/>
    <w:rsid w:val="00FF7695"/>
    <w:rsid w:val="29729D5D"/>
    <w:rsid w:val="456B1CF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6C748D2-F6B6-4F6B-984B-81738D839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Type">
    <w:name w:val="Type"/>
    <w:basedOn w:val="Normal"/>
    <w:link w:val="TypeChar"/>
    <w:qFormat/>
    <w:rsid w:val="003279BA"/>
    <w:pPr>
      <w:jc w:val="center"/>
    </w:pPr>
    <w:rPr>
      <w:b/>
      <w:bCs/>
    </w:rPr>
  </w:style>
  <w:style w:type="character" w:customStyle="1" w:styleId="TypeChar">
    <w:name w:val="Type Char"/>
    <w:basedOn w:val="DefaultParagraphFont"/>
    <w:link w:val="Type"/>
    <w:rsid w:val="003279BA"/>
    <w:rPr>
      <w:rFonts w:ascii="CVS Health Sans" w:hAnsi="CVS Health Sans"/>
      <w:b/>
      <w:bCs/>
      <w:sz w:val="22"/>
    </w:rPr>
  </w:style>
  <w:style w:type="character" w:customStyle="1" w:styleId="ui-provider">
    <w:name w:val="ui-provider"/>
    <w:basedOn w:val="DefaultParagraphFont"/>
    <w:rsid w:val="000435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37611">
      <w:bodyDiv w:val="1"/>
      <w:marLeft w:val="0"/>
      <w:marRight w:val="0"/>
      <w:marTop w:val="0"/>
      <w:marBottom w:val="0"/>
      <w:divBdr>
        <w:top w:val="none" w:sz="0" w:space="0" w:color="auto"/>
        <w:left w:val="none" w:sz="0" w:space="0" w:color="auto"/>
        <w:bottom w:val="none" w:sz="0" w:space="0" w:color="auto"/>
        <w:right w:val="none" w:sz="0" w:space="0" w:color="auto"/>
      </w:divBdr>
    </w:div>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3D4F89D-45E7-4338-910B-B21FE87661EC}"/>
</file>

<file path=customXml/itemProps2.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3.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4.xml><?xml version="1.0" encoding="utf-8"?>
<ds:datastoreItem xmlns:ds="http://schemas.openxmlformats.org/officeDocument/2006/customXml" ds:itemID="{A243CFE1-08DE-432F-83DD-4933F5F97812}">
  <ds:schemaRefs>
    <ds:schemaRef ds:uri="http://schemas.microsoft.com/office/2006/metadata/properties"/>
    <ds:schemaRef ds:uri="http://schemas.microsoft.com/office/infopath/2007/PartnerControls"/>
    <ds:schemaRef ds:uri="9e5e3151-c0b7-45db-a3fc-693419218584"/>
    <ds:schemaRef ds:uri="140c881a-ad29-41df-bf4a-49828f8e0a8a"/>
    <ds:schemaRef ds:uri="d8141934-0c15-45a3-8ee8-53e64ae38189"/>
    <ds:schemaRef ds:uri="043d2832-9d9b-42b0-abd6-be76ec978c95"/>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3</Pages>
  <Words>531</Words>
  <Characters>3027</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Padcev 3469-A SGM 2024</vt:lpstr>
    </vt:vector>
  </TitlesOfParts>
  <Company>PCS Health Systems</Company>
  <LinksUpToDate>false</LinksUpToDate>
  <CharactersWithSpaces>3551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Padcev 3469-A SGM 2024</dc:title>
  <dc:subject/>
  <dc:creator>CVS Caremark</dc:creator>
  <cp:keywords/>
  <cp:lastModifiedBy>Tristano, Stephanie G</cp:lastModifiedBy>
  <cp:revision>21</cp:revision>
  <cp:lastPrinted>2018-01-09T11:01:00Z</cp:lastPrinted>
  <dcterms:created xsi:type="dcterms:W3CDTF">2024-07-17T10:33:00Z</dcterms:created>
  <dcterms:modified xsi:type="dcterms:W3CDTF">2025-01-03T16:40:00Z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1585300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